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6EF4" w14:textId="1BD438BA" w:rsidR="008033ED" w:rsidRDefault="00423736" w:rsidP="00A8147B">
      <w:pPr>
        <w:pStyle w:val="NormalWeb"/>
        <w:jc w:val="center"/>
        <w:rPr>
          <w:b/>
        </w:rPr>
      </w:pPr>
      <w:r w:rsidRPr="00423736">
        <w:rPr>
          <w:b/>
        </w:rPr>
        <w:t>Atelier Cas pédagogiques</w:t>
      </w:r>
    </w:p>
    <w:p w14:paraId="513E84F3" w14:textId="79F56D0F" w:rsidR="009C4F25" w:rsidRPr="00A8147B" w:rsidRDefault="009C4F25" w:rsidP="00A8147B">
      <w:pPr>
        <w:pStyle w:val="NormalWeb"/>
        <w:jc w:val="center"/>
      </w:pPr>
      <w:r w:rsidRPr="00A8147B">
        <w:t xml:space="preserve">Responsables : Noémie </w:t>
      </w:r>
      <w:r w:rsidRPr="00A8147B">
        <w:rPr>
          <w:caps/>
        </w:rPr>
        <w:t>Dominguez</w:t>
      </w:r>
      <w:r w:rsidRPr="00A8147B">
        <w:t xml:space="preserve"> &amp; Florence </w:t>
      </w:r>
      <w:r w:rsidRPr="00A8147B">
        <w:rPr>
          <w:caps/>
        </w:rPr>
        <w:t>Gervais</w:t>
      </w:r>
    </w:p>
    <w:p w14:paraId="1C2B12AB" w14:textId="519B6355" w:rsidR="009C4F25" w:rsidRPr="00423736" w:rsidRDefault="009C4F25" w:rsidP="008033ED">
      <w:pPr>
        <w:pStyle w:val="NormalWeb"/>
        <w:rPr>
          <w:b/>
        </w:rPr>
      </w:pPr>
    </w:p>
    <w:p w14:paraId="6E7766B3" w14:textId="77777777" w:rsidR="008033ED" w:rsidRDefault="008033ED" w:rsidP="008033ED">
      <w:pPr>
        <w:pStyle w:val="NormalWeb"/>
        <w:rPr>
          <w:color w:val="000000"/>
        </w:rPr>
      </w:pPr>
      <w:r>
        <w:rPr>
          <w:color w:val="000000"/>
        </w:rPr>
        <w:t xml:space="preserve">L’atelier Cas Pédagogiques a pour objectif de valoriser les cas en management international, écrits en français, en espagnol ou en anglais. </w:t>
      </w:r>
      <w:r w:rsidRPr="00903689">
        <w:rPr>
          <w:color w:val="000000"/>
        </w:rPr>
        <w:t xml:space="preserve">Il entend promouvoir la rédaction de cas pédagogiquement innovants, adaptés aux publics cibles, et respectant la philosophie managériale des entreprises analysées. </w:t>
      </w:r>
      <w:r>
        <w:rPr>
          <w:color w:val="000000"/>
        </w:rPr>
        <w:t>L’atelier offre aussi aux auteurs l’occasion de découvrir des travaux inspirants, d’échanger sur la rédaction et la pratique des cas, et de modifier</w:t>
      </w:r>
      <w:r>
        <w:rPr>
          <w:color w:val="4BA524"/>
          <w:shd w:val="clear" w:color="auto" w:fill="FFFFFF"/>
        </w:rPr>
        <w:t> </w:t>
      </w:r>
      <w:r>
        <w:rPr>
          <w:b/>
          <w:bCs/>
          <w:color w:val="4BA524"/>
          <w:shd w:val="clear" w:color="auto" w:fill="FFFFFF"/>
        </w:rPr>
        <w:t>leur propre cas avant dépôt grâce au retour des évaluateurs et de leurs pairs</w:t>
      </w:r>
      <w:r>
        <w:rPr>
          <w:b/>
          <w:bCs/>
          <w:shd w:val="clear" w:color="auto" w:fill="FFFFFF"/>
        </w:rPr>
        <w:t>.</w:t>
      </w:r>
    </w:p>
    <w:p w14:paraId="5AD5E9AB" w14:textId="40146930" w:rsidR="008033ED" w:rsidRDefault="008033ED" w:rsidP="008033ED">
      <w:pPr>
        <w:pStyle w:val="NormalWeb"/>
        <w:rPr>
          <w:color w:val="000000"/>
        </w:rPr>
      </w:pPr>
      <w:r>
        <w:rPr>
          <w:color w:val="000000"/>
        </w:rPr>
        <w:t> </w:t>
      </w:r>
      <w:r w:rsidRPr="00903689">
        <w:rPr>
          <w:color w:val="000000"/>
        </w:rPr>
        <w:t xml:space="preserve">Tout auteur de cas dont la problématique intègre la dimension internationale peut soumettre son cas à l’atelier. Il peut, par exemple, s’agir de cas en marketing, entrepreneuriat, finance, management stratégique, ressources humaines, systèmes d’information, management interculturel, négociations, logistique et </w:t>
      </w:r>
      <w:proofErr w:type="spellStart"/>
      <w:r w:rsidRPr="00903689">
        <w:rPr>
          <w:color w:val="000000"/>
        </w:rPr>
        <w:t>supply</w:t>
      </w:r>
      <w:proofErr w:type="spellEnd"/>
      <w:r w:rsidRPr="00903689">
        <w:rPr>
          <w:color w:val="000000"/>
        </w:rPr>
        <w:t xml:space="preserve"> </w:t>
      </w:r>
      <w:proofErr w:type="spellStart"/>
      <w:r w:rsidRPr="00903689">
        <w:rPr>
          <w:color w:val="000000"/>
        </w:rPr>
        <w:t>chain</w:t>
      </w:r>
      <w:proofErr w:type="spellEnd"/>
      <w:r w:rsidRPr="00903689">
        <w:rPr>
          <w:color w:val="000000"/>
        </w:rPr>
        <w:t xml:space="preserve">, économies émergentes, etc. </w:t>
      </w:r>
      <w:r>
        <w:rPr>
          <w:color w:val="000000"/>
        </w:rPr>
        <w:t>Les cas présentés feront l’objet d’une double évaluation à l’aveugle et seront ensuite présentés et discutés lors de l’atelier.</w:t>
      </w:r>
      <w:r>
        <w:rPr>
          <w:b/>
          <w:bCs/>
          <w:color w:val="4BA524"/>
        </w:rPr>
        <w:t xml:space="preserve"> Il peut s'agir de cas en cours de finalisation, ou de cas déposés auprès de la CCMP dans l'année. </w:t>
      </w:r>
    </w:p>
    <w:p w14:paraId="472871DD" w14:textId="766E47CE" w:rsidR="008033ED" w:rsidRDefault="008033ED" w:rsidP="008033ED">
      <w:pPr>
        <w:pStyle w:val="NormalWeb"/>
        <w:rPr>
          <w:color w:val="000000"/>
        </w:rPr>
      </w:pPr>
      <w:r>
        <w:rPr>
          <w:color w:val="000000"/>
        </w:rPr>
        <w:t> </w:t>
      </w:r>
      <w:r w:rsidRPr="00903689">
        <w:rPr>
          <w:color w:val="000000"/>
        </w:rPr>
        <w:t>Les cas correspondant aux standards de qualité de l’association obtiendront le label « recommandé par Atlas AFMI ». Le meilleur cas se verra, pour sa part, décerner le prix « CCMP – Atlas AFMI ». Créé en 2013, ce prix récompense les études de cas novatrices ayant trait au développement à l’international des entreprises dans leurs divers aspects fonctionnels. Les études de cas, accompagnées des notices pédagogiques, sont à déposer sous format CCMP sur la plateforme de la conférence.</w:t>
      </w:r>
    </w:p>
    <w:p w14:paraId="57C541AE" w14:textId="06603F6A" w:rsidR="00423736" w:rsidRPr="00903689" w:rsidRDefault="00423736">
      <w:pPr>
        <w:rPr>
          <w:rFonts w:ascii="Calibri" w:hAnsi="Calibri" w:cs="Calibri"/>
          <w:color w:val="000000"/>
          <w:sz w:val="22"/>
          <w:szCs w:val="22"/>
          <w:lang w:eastAsia="fr-FR"/>
        </w:rPr>
      </w:pPr>
      <w:r w:rsidRPr="00903689">
        <w:rPr>
          <w:color w:val="000000"/>
        </w:rPr>
        <w:br w:type="page"/>
      </w:r>
    </w:p>
    <w:p w14:paraId="75A4FC48" w14:textId="7C023A39" w:rsidR="008033ED" w:rsidRDefault="00423736" w:rsidP="00A8147B">
      <w:pPr>
        <w:pStyle w:val="NormalWeb"/>
        <w:jc w:val="center"/>
        <w:rPr>
          <w:b/>
          <w:color w:val="000000"/>
          <w:lang w:val="en-US"/>
        </w:rPr>
      </w:pPr>
      <w:r w:rsidRPr="00903689">
        <w:rPr>
          <w:b/>
          <w:color w:val="000000"/>
          <w:lang w:val="en-US"/>
        </w:rPr>
        <w:lastRenderedPageBreak/>
        <w:t>Pedagogical Case Study Session</w:t>
      </w:r>
    </w:p>
    <w:p w14:paraId="733692B1" w14:textId="474EBBF5" w:rsidR="009C4F25" w:rsidRPr="00A8147B" w:rsidRDefault="009C4F25" w:rsidP="00A8147B">
      <w:pPr>
        <w:pStyle w:val="NormalWeb"/>
        <w:jc w:val="center"/>
        <w:rPr>
          <w:lang w:val="en-US"/>
        </w:rPr>
      </w:pPr>
      <w:r w:rsidRPr="00A8147B">
        <w:rPr>
          <w:color w:val="000000"/>
          <w:lang w:val="en-US"/>
        </w:rPr>
        <w:t>Track chairs:</w:t>
      </w:r>
      <w:r w:rsidRPr="00A8147B">
        <w:rPr>
          <w:lang w:val="en-US"/>
        </w:rPr>
        <w:t xml:space="preserve"> Noémie </w:t>
      </w:r>
      <w:r w:rsidRPr="00A8147B">
        <w:rPr>
          <w:caps/>
          <w:lang w:val="en-US"/>
        </w:rPr>
        <w:t>Dominguez</w:t>
      </w:r>
      <w:r w:rsidRPr="00A8147B">
        <w:rPr>
          <w:lang w:val="en-US"/>
        </w:rPr>
        <w:t xml:space="preserve"> &amp; Florence </w:t>
      </w:r>
      <w:r w:rsidRPr="00A8147B">
        <w:rPr>
          <w:caps/>
          <w:lang w:val="en-US"/>
        </w:rPr>
        <w:t>Gervais</w:t>
      </w:r>
    </w:p>
    <w:p w14:paraId="37E51879" w14:textId="6C00BBEE" w:rsidR="009C4F25" w:rsidRPr="00A8147B" w:rsidRDefault="009C4F25" w:rsidP="008033ED">
      <w:pPr>
        <w:pStyle w:val="NormalWeb"/>
        <w:rPr>
          <w:b/>
          <w:color w:val="000000"/>
          <w:lang w:val="en-US"/>
        </w:rPr>
      </w:pPr>
    </w:p>
    <w:p w14:paraId="429A5D4D" w14:textId="77777777" w:rsidR="008033ED" w:rsidRPr="008033ED" w:rsidRDefault="008033ED" w:rsidP="008033ED">
      <w:pPr>
        <w:pStyle w:val="NormalWeb"/>
        <w:rPr>
          <w:color w:val="000000"/>
          <w:lang w:val="en-US"/>
        </w:rPr>
      </w:pPr>
      <w:r w:rsidRPr="00903689">
        <w:rPr>
          <w:color w:val="000000"/>
          <w:lang w:val="en-US"/>
        </w:rPr>
        <w:t>The pedagogical case study session aims at enhancing IB case studies written either in French, Spanish or English. The objective is to promote the creation of innovative cases, adapted to IB students and in line with the case firms’ philosophy.</w:t>
      </w:r>
    </w:p>
    <w:p w14:paraId="33825CAC" w14:textId="49F8BDFD" w:rsidR="008033ED" w:rsidRPr="008033ED" w:rsidRDefault="008033ED" w:rsidP="008033ED">
      <w:pPr>
        <w:pStyle w:val="NormalWeb"/>
        <w:rPr>
          <w:color w:val="000000"/>
          <w:lang w:val="en-US"/>
        </w:rPr>
      </w:pPr>
      <w:r w:rsidRPr="00903689">
        <w:rPr>
          <w:color w:val="000000"/>
          <w:lang w:val="en-US"/>
        </w:rPr>
        <w:t xml:space="preserve"> Case submitted by faculty, students and/or managers cover the entire spectrum of the International Business sphere, such as, for example, Trade, Negotiations, Marketing, Entrepreneurship, Finance, Strategic Management, Supply Chain, Internationalization, Information Systems, Human Resources, Intercultural Management, Emerging Economies, etc. </w:t>
      </w:r>
      <w:r w:rsidRPr="00903689">
        <w:rPr>
          <w:b/>
          <w:bCs/>
          <w:color w:val="4BA524"/>
          <w:lang w:val="en-US"/>
        </w:rPr>
        <w:t>Cases can be finalized or not, uploaded on the CCMP platform this year or not.</w:t>
      </w:r>
      <w:r w:rsidRPr="00903689">
        <w:rPr>
          <w:color w:val="000000"/>
          <w:lang w:val="en-US"/>
        </w:rPr>
        <w:t xml:space="preserve"> They will be evaluated by a jury following a double-blind evaluation </w:t>
      </w:r>
      <w:proofErr w:type="gramStart"/>
      <w:r w:rsidRPr="00903689">
        <w:rPr>
          <w:color w:val="000000"/>
          <w:lang w:val="en-US"/>
        </w:rPr>
        <w:t>process .</w:t>
      </w:r>
      <w:proofErr w:type="gramEnd"/>
      <w:r w:rsidRPr="00903689">
        <w:rPr>
          <w:color w:val="000000"/>
          <w:lang w:val="en-US"/>
        </w:rPr>
        <w:t xml:space="preserve"> </w:t>
      </w:r>
      <w:r w:rsidRPr="00903689">
        <w:rPr>
          <w:b/>
          <w:bCs/>
          <w:color w:val="4BA524"/>
          <w:lang w:val="en-US"/>
        </w:rPr>
        <w:t>Authors will have the opportunity to present, discuss and - if necessary - to modify a bit their case before uploading them on the CCMP platform. </w:t>
      </w:r>
    </w:p>
    <w:p w14:paraId="03D4C41C" w14:textId="06738A07" w:rsidR="008033ED" w:rsidRPr="008033ED" w:rsidRDefault="008033ED" w:rsidP="008033ED">
      <w:pPr>
        <w:pStyle w:val="NormalWeb"/>
        <w:rPr>
          <w:color w:val="000000"/>
          <w:lang w:val="en-US"/>
        </w:rPr>
      </w:pPr>
      <w:r w:rsidRPr="00903689">
        <w:rPr>
          <w:color w:val="000000"/>
          <w:lang w:val="en-US"/>
        </w:rPr>
        <w:t> Cases meeting the association quality standards will receive the “Atlas-AFMI” label. The best case will receive the “CCMP-Atlas AFMI” IB Case writing award. Submission of the final case, including instructor’s solution materials must be made on the conference’s platform.</w:t>
      </w:r>
    </w:p>
    <w:p w14:paraId="14741169" w14:textId="77777777" w:rsidR="008033ED" w:rsidRPr="008033ED" w:rsidRDefault="008033ED" w:rsidP="008033ED">
      <w:pPr>
        <w:pStyle w:val="NormalWeb"/>
        <w:rPr>
          <w:color w:val="000000"/>
          <w:lang w:val="en-US"/>
        </w:rPr>
      </w:pPr>
      <w:r w:rsidRPr="00903689">
        <w:rPr>
          <w:color w:val="000000"/>
          <w:lang w:val="en-US"/>
        </w:rPr>
        <w:t> </w:t>
      </w:r>
    </w:p>
    <w:p w14:paraId="09ECEA7E" w14:textId="77777777" w:rsidR="00423736" w:rsidRPr="00903689" w:rsidRDefault="00423736">
      <w:pPr>
        <w:rPr>
          <w:rFonts w:ascii="Calibri" w:hAnsi="Calibri" w:cs="Calibri"/>
          <w:b/>
          <w:color w:val="000000"/>
          <w:sz w:val="22"/>
          <w:szCs w:val="22"/>
          <w:lang w:val="en-US" w:eastAsia="fr-FR"/>
        </w:rPr>
      </w:pPr>
      <w:r w:rsidRPr="00903689">
        <w:rPr>
          <w:b/>
          <w:color w:val="000000"/>
          <w:lang w:val="en-US"/>
        </w:rPr>
        <w:br w:type="page"/>
      </w:r>
    </w:p>
    <w:p w14:paraId="1A84BE3D" w14:textId="3D24FECE" w:rsidR="008033ED" w:rsidRPr="00903689" w:rsidRDefault="00423736" w:rsidP="00A8147B">
      <w:pPr>
        <w:pStyle w:val="NormalWeb"/>
        <w:jc w:val="center"/>
        <w:rPr>
          <w:b/>
          <w:color w:val="000000"/>
          <w:lang w:val="es-CO"/>
        </w:rPr>
      </w:pPr>
      <w:r>
        <w:rPr>
          <w:b/>
          <w:color w:val="000000"/>
          <w:lang w:val="es-ES_tradnl"/>
        </w:rPr>
        <w:lastRenderedPageBreak/>
        <w:t>S</w:t>
      </w:r>
      <w:r w:rsidRPr="00423736">
        <w:rPr>
          <w:b/>
          <w:color w:val="000000"/>
          <w:lang w:val="es-ES_tradnl"/>
        </w:rPr>
        <w:t>esión de Casos Pedagógicos</w:t>
      </w:r>
    </w:p>
    <w:p w14:paraId="10BD5B92" w14:textId="5928621C" w:rsidR="009C4F25" w:rsidRPr="00A8147B" w:rsidRDefault="009C4F25" w:rsidP="00A8147B">
      <w:pPr>
        <w:pStyle w:val="NormalWeb"/>
        <w:jc w:val="center"/>
      </w:pPr>
      <w:r w:rsidRPr="00A8147B">
        <w:t xml:space="preserve">Noémie </w:t>
      </w:r>
      <w:r w:rsidRPr="00A8147B">
        <w:rPr>
          <w:caps/>
        </w:rPr>
        <w:t>Dominguez</w:t>
      </w:r>
      <w:r w:rsidRPr="00A8147B">
        <w:t xml:space="preserve"> </w:t>
      </w:r>
      <w:r w:rsidR="00A8147B">
        <w:t>y</w:t>
      </w:r>
      <w:bookmarkStart w:id="0" w:name="_GoBack"/>
      <w:bookmarkEnd w:id="0"/>
      <w:r w:rsidRPr="00A8147B">
        <w:t xml:space="preserve"> Florence </w:t>
      </w:r>
      <w:r w:rsidRPr="00A8147B">
        <w:rPr>
          <w:caps/>
        </w:rPr>
        <w:t>Gervais</w:t>
      </w:r>
    </w:p>
    <w:p w14:paraId="06F42DFF" w14:textId="77777777" w:rsidR="00A8147B" w:rsidRDefault="00A8147B" w:rsidP="008033ED">
      <w:pPr>
        <w:pStyle w:val="NormalWeb"/>
        <w:rPr>
          <w:color w:val="000000"/>
          <w:lang w:val="es-ES_tradnl"/>
        </w:rPr>
      </w:pPr>
    </w:p>
    <w:p w14:paraId="7182F589" w14:textId="1606338C" w:rsidR="008033ED" w:rsidRPr="00903689" w:rsidRDefault="008033ED" w:rsidP="008033ED">
      <w:pPr>
        <w:pStyle w:val="NormalWeb"/>
        <w:rPr>
          <w:color w:val="000000"/>
          <w:lang w:val="es-CO"/>
        </w:rPr>
      </w:pPr>
      <w:r>
        <w:rPr>
          <w:color w:val="000000"/>
          <w:lang w:val="es-ES_tradnl"/>
        </w:rPr>
        <w:t>La sesión de Casos Pedagógicos tiene como objetivo promover casos en gestión internacional, escritos en francés o español o inglés. Se propone promover la redacción de casos pedagógicamente innovadores, respetando la filosofía de las empresas analizadas. La sesión también ofrece a los autores la oportunidad de descubrir trabajos inspiradores y discutir la escritura y la práctica de casos.</w:t>
      </w:r>
    </w:p>
    <w:p w14:paraId="0890DC0E" w14:textId="5C036B63" w:rsidR="008033ED" w:rsidRPr="00903689" w:rsidRDefault="008033ED" w:rsidP="008033ED">
      <w:pPr>
        <w:pStyle w:val="NormalWeb"/>
        <w:rPr>
          <w:color w:val="000000"/>
          <w:lang w:val="es-CO"/>
        </w:rPr>
      </w:pPr>
      <w:r>
        <w:rPr>
          <w:color w:val="000000"/>
          <w:lang w:val="es-ES_tradnl"/>
        </w:rPr>
        <w:t> Cualquier autor cuyo problema integre la dimensión internacional puede someter su caso</w:t>
      </w:r>
      <w:r w:rsidR="00903689">
        <w:rPr>
          <w:color w:val="000000"/>
          <w:lang w:val="es-ES_tradnl"/>
        </w:rPr>
        <w:t xml:space="preserve"> en temas, por ejemplo, de</w:t>
      </w:r>
      <w:r>
        <w:rPr>
          <w:color w:val="000000"/>
          <w:lang w:val="es-ES_tradnl"/>
        </w:rPr>
        <w:t xml:space="preserve"> marketing, emprendimiento, finanzas, gestión estratégica, recursos humanos, sistemas de información, gestión intercultural, negociaciones internacionales, logística y cadena de suministro, etc. Los casos presentados serán evaluados a ciegas dos veces y luego serán presentados y discutidos durante la sesión.</w:t>
      </w:r>
    </w:p>
    <w:p w14:paraId="71EA9E5F" w14:textId="6AF5554C" w:rsidR="008033ED" w:rsidRPr="00903689" w:rsidRDefault="008033ED" w:rsidP="008033ED">
      <w:pPr>
        <w:pStyle w:val="NormalWeb"/>
        <w:rPr>
          <w:color w:val="000000"/>
          <w:lang w:val="es-CO"/>
        </w:rPr>
      </w:pPr>
      <w:r>
        <w:rPr>
          <w:color w:val="000000"/>
          <w:lang w:val="es-ES_tradnl"/>
        </w:rPr>
        <w:t> Los casos que satisfagan a los estándares de calidad de la asociación obtendrán la etiqueta "recomendado por Atlas AFMI". El mejor caso, por su parte, recibirá el premio "CCMP - Atlas AFMI". Los casos, acompañados de notas educativas, deben presentarse en formato CCMP en la plataforma de la conferencia.</w:t>
      </w:r>
    </w:p>
    <w:p w14:paraId="0538B52F" w14:textId="77777777" w:rsidR="008033ED" w:rsidRPr="00903689" w:rsidRDefault="008033ED" w:rsidP="005F1614">
      <w:pPr>
        <w:jc w:val="both"/>
        <w:rPr>
          <w:rFonts w:ascii="Times New Roman" w:hAnsi="Times New Roman" w:cs="Times New Roman"/>
          <w:lang w:val="es-CO"/>
        </w:rPr>
      </w:pPr>
    </w:p>
    <w:sectPr w:rsidR="008033ED" w:rsidRPr="00903689" w:rsidSect="009B40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0"/>
    <w:rsid w:val="0004729B"/>
    <w:rsid w:val="000B4518"/>
    <w:rsid w:val="00116617"/>
    <w:rsid w:val="00365910"/>
    <w:rsid w:val="00423736"/>
    <w:rsid w:val="0047547B"/>
    <w:rsid w:val="004D1284"/>
    <w:rsid w:val="004E7DC2"/>
    <w:rsid w:val="005F1614"/>
    <w:rsid w:val="008033ED"/>
    <w:rsid w:val="008A4795"/>
    <w:rsid w:val="008E0907"/>
    <w:rsid w:val="00903689"/>
    <w:rsid w:val="009B40E7"/>
    <w:rsid w:val="009C4F25"/>
    <w:rsid w:val="00A8147B"/>
    <w:rsid w:val="00A95563"/>
    <w:rsid w:val="00AC3328"/>
    <w:rsid w:val="00B07AC3"/>
    <w:rsid w:val="00B61021"/>
    <w:rsid w:val="00C76DCC"/>
    <w:rsid w:val="00EB7290"/>
    <w:rsid w:val="00EF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6A6A"/>
  <w15:chartTrackingRefBased/>
  <w15:docId w15:val="{2A0D45FB-092E-D54B-B42F-E9C2A869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033ED"/>
    <w:pPr>
      <w:spacing w:before="100" w:beforeAutospacing="1" w:after="100" w:afterAutospacing="1"/>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9019">
      <w:bodyDiv w:val="1"/>
      <w:marLeft w:val="0"/>
      <w:marRight w:val="0"/>
      <w:marTop w:val="0"/>
      <w:marBottom w:val="0"/>
      <w:divBdr>
        <w:top w:val="none" w:sz="0" w:space="0" w:color="auto"/>
        <w:left w:val="none" w:sz="0" w:space="0" w:color="auto"/>
        <w:bottom w:val="none" w:sz="0" w:space="0" w:color="auto"/>
        <w:right w:val="none" w:sz="0" w:space="0" w:color="auto"/>
      </w:divBdr>
    </w:div>
    <w:div w:id="574432883">
      <w:bodyDiv w:val="1"/>
      <w:marLeft w:val="0"/>
      <w:marRight w:val="0"/>
      <w:marTop w:val="0"/>
      <w:marBottom w:val="0"/>
      <w:divBdr>
        <w:top w:val="none" w:sz="0" w:space="0" w:color="auto"/>
        <w:left w:val="none" w:sz="0" w:space="0" w:color="auto"/>
        <w:bottom w:val="none" w:sz="0" w:space="0" w:color="auto"/>
        <w:right w:val="none" w:sz="0" w:space="0" w:color="auto"/>
      </w:divBdr>
    </w:div>
    <w:div w:id="1117602710">
      <w:bodyDiv w:val="1"/>
      <w:marLeft w:val="0"/>
      <w:marRight w:val="0"/>
      <w:marTop w:val="0"/>
      <w:marBottom w:val="0"/>
      <w:divBdr>
        <w:top w:val="none" w:sz="0" w:space="0" w:color="auto"/>
        <w:left w:val="none" w:sz="0" w:space="0" w:color="auto"/>
        <w:bottom w:val="none" w:sz="0" w:space="0" w:color="auto"/>
        <w:right w:val="none" w:sz="0" w:space="0" w:color="auto"/>
      </w:divBdr>
    </w:div>
    <w:div w:id="1291129635">
      <w:bodyDiv w:val="1"/>
      <w:marLeft w:val="0"/>
      <w:marRight w:val="0"/>
      <w:marTop w:val="0"/>
      <w:marBottom w:val="0"/>
      <w:divBdr>
        <w:top w:val="none" w:sz="0" w:space="0" w:color="auto"/>
        <w:left w:val="none" w:sz="0" w:space="0" w:color="auto"/>
        <w:bottom w:val="none" w:sz="0" w:space="0" w:color="auto"/>
        <w:right w:val="none" w:sz="0" w:space="0" w:color="auto"/>
      </w:divBdr>
    </w:div>
    <w:div w:id="1415202537">
      <w:bodyDiv w:val="1"/>
      <w:marLeft w:val="0"/>
      <w:marRight w:val="0"/>
      <w:marTop w:val="0"/>
      <w:marBottom w:val="0"/>
      <w:divBdr>
        <w:top w:val="none" w:sz="0" w:space="0" w:color="auto"/>
        <w:left w:val="none" w:sz="0" w:space="0" w:color="auto"/>
        <w:bottom w:val="none" w:sz="0" w:space="0" w:color="auto"/>
        <w:right w:val="none" w:sz="0" w:space="0" w:color="auto"/>
      </w:divBdr>
    </w:div>
    <w:div w:id="1631201035">
      <w:bodyDiv w:val="1"/>
      <w:marLeft w:val="0"/>
      <w:marRight w:val="0"/>
      <w:marTop w:val="0"/>
      <w:marBottom w:val="0"/>
      <w:divBdr>
        <w:top w:val="none" w:sz="0" w:space="0" w:color="auto"/>
        <w:left w:val="none" w:sz="0" w:space="0" w:color="auto"/>
        <w:bottom w:val="none" w:sz="0" w:space="0" w:color="auto"/>
        <w:right w:val="none" w:sz="0" w:space="0" w:color="auto"/>
      </w:divBdr>
      <w:divsChild>
        <w:div w:id="1936479159">
          <w:marLeft w:val="0"/>
          <w:marRight w:val="0"/>
          <w:marTop w:val="0"/>
          <w:marBottom w:val="0"/>
          <w:divBdr>
            <w:top w:val="none" w:sz="0" w:space="0" w:color="auto"/>
            <w:left w:val="none" w:sz="0" w:space="0" w:color="auto"/>
            <w:bottom w:val="none" w:sz="0" w:space="0" w:color="auto"/>
            <w:right w:val="none" w:sz="0" w:space="0" w:color="auto"/>
          </w:divBdr>
        </w:div>
        <w:div w:id="834565843">
          <w:marLeft w:val="0"/>
          <w:marRight w:val="0"/>
          <w:marTop w:val="0"/>
          <w:marBottom w:val="0"/>
          <w:divBdr>
            <w:top w:val="none" w:sz="0" w:space="0" w:color="auto"/>
            <w:left w:val="none" w:sz="0" w:space="0" w:color="auto"/>
            <w:bottom w:val="none" w:sz="0" w:space="0" w:color="auto"/>
            <w:right w:val="none" w:sz="0" w:space="0" w:color="auto"/>
          </w:divBdr>
        </w:div>
        <w:div w:id="633292992">
          <w:marLeft w:val="0"/>
          <w:marRight w:val="0"/>
          <w:marTop w:val="0"/>
          <w:marBottom w:val="0"/>
          <w:divBdr>
            <w:top w:val="none" w:sz="0" w:space="0" w:color="auto"/>
            <w:left w:val="none" w:sz="0" w:space="0" w:color="auto"/>
            <w:bottom w:val="none" w:sz="0" w:space="0" w:color="auto"/>
            <w:right w:val="none" w:sz="0" w:space="0" w:color="auto"/>
          </w:divBdr>
        </w:div>
        <w:div w:id="2032024823">
          <w:marLeft w:val="0"/>
          <w:marRight w:val="0"/>
          <w:marTop w:val="0"/>
          <w:marBottom w:val="0"/>
          <w:divBdr>
            <w:top w:val="none" w:sz="0" w:space="0" w:color="auto"/>
            <w:left w:val="none" w:sz="0" w:space="0" w:color="auto"/>
            <w:bottom w:val="none" w:sz="0" w:space="0" w:color="auto"/>
            <w:right w:val="none" w:sz="0" w:space="0" w:color="auto"/>
          </w:divBdr>
        </w:div>
        <w:div w:id="1655525878">
          <w:marLeft w:val="0"/>
          <w:marRight w:val="0"/>
          <w:marTop w:val="0"/>
          <w:marBottom w:val="0"/>
          <w:divBdr>
            <w:top w:val="none" w:sz="0" w:space="0" w:color="auto"/>
            <w:left w:val="none" w:sz="0" w:space="0" w:color="auto"/>
            <w:bottom w:val="none" w:sz="0" w:space="0" w:color="auto"/>
            <w:right w:val="none" w:sz="0" w:space="0" w:color="auto"/>
          </w:divBdr>
        </w:div>
      </w:divsChild>
    </w:div>
    <w:div w:id="20661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04C049591ED409E2DBC7CDCF32DB5" ma:contentTypeVersion="13" ma:contentTypeDescription="Create a new document." ma:contentTypeScope="" ma:versionID="f96728699b3571058d5757b986b67c83">
  <xsd:schema xmlns:xsd="http://www.w3.org/2001/XMLSchema" xmlns:xs="http://www.w3.org/2001/XMLSchema" xmlns:p="http://schemas.microsoft.com/office/2006/metadata/properties" xmlns:ns3="f21bd9a7-bd02-4b8e-92c5-a72f2a43713c" xmlns:ns4="dff3cdc6-ea72-47e7-8018-7b713ee3a0e5" targetNamespace="http://schemas.microsoft.com/office/2006/metadata/properties" ma:root="true" ma:fieldsID="0da425a75e2e374cf3c7c855396d75ef" ns3:_="" ns4:_="">
    <xsd:import namespace="f21bd9a7-bd02-4b8e-92c5-a72f2a43713c"/>
    <xsd:import namespace="dff3cdc6-ea72-47e7-8018-7b713ee3a0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d9a7-bd02-4b8e-92c5-a72f2a437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3cdc6-ea72-47e7-8018-7b713ee3a0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255AD-E448-44EB-9A75-C48D5F6598F7}">
  <ds:schemaRefs>
    <ds:schemaRef ds:uri="http://schemas.microsoft.com/sharepoint/v3/contenttype/forms"/>
  </ds:schemaRefs>
</ds:datastoreItem>
</file>

<file path=customXml/itemProps2.xml><?xml version="1.0" encoding="utf-8"?>
<ds:datastoreItem xmlns:ds="http://schemas.openxmlformats.org/officeDocument/2006/customXml" ds:itemID="{BA7488B1-F85C-4B09-9884-79052767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d9a7-bd02-4b8e-92c5-a72f2a43713c"/>
    <ds:schemaRef ds:uri="dff3cdc6-ea72-47e7-8018-7b713ee3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03DD2-7C87-4C4E-92EE-5B1E70713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DOMINGUEZ</dc:creator>
  <cp:keywords/>
  <dc:description/>
  <cp:lastModifiedBy>VERY Philippe</cp:lastModifiedBy>
  <cp:revision>8</cp:revision>
  <dcterms:created xsi:type="dcterms:W3CDTF">2021-09-09T15:54:00Z</dcterms:created>
  <dcterms:modified xsi:type="dcterms:W3CDTF">2021-09-21T07:47:00Z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0x010100D0704C049591ED409E2DBC7CDCF32DB5</vt:lpwstr>
  </property>
</Properties>
</file>